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«Основы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финансы, финансовый анализ, риски хозяйственной деятельности организации и методы управления ими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«Основы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pPr>
              <w:jc w:val="both"/>
              <w:spacing w:after="0" w:line="240" w:lineRule="auto"/>
              <w:rPr>
                <w:sz w:val="24"/>
                <w:szCs w:val="24"/>
              </w:rPr>
            </w:pPr>
            <w:r>
              <w:rPr>
                <w:rFonts w:ascii="Times New Roman" w:hAnsi="Times New Roman" w:cs="Times New Roman"/>
                <w:color w:val="#000000"/>
                <w:sz w:val="24"/>
                <w:szCs w:val="24"/>
              </w:rPr>
              <w:t> 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pPr>
              <w:jc w:val="both"/>
              <w:spacing w:after="0" w:line="240" w:lineRule="auto"/>
              <w:rPr>
                <w:sz w:val="24"/>
                <w:szCs w:val="24"/>
              </w:rPr>
            </w:pPr>
            <w:r>
              <w:rPr>
                <w:rFonts w:ascii="Times New Roman" w:hAnsi="Times New Roman" w:cs="Times New Roman"/>
                <w:color w:val="#000000"/>
                <w:sz w:val="24"/>
                <w:szCs w:val="24"/>
              </w:rPr>
              <w:t> 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Сущность аудита на соответствие требованиям. Понятие операционного аудита. Основные черты аудита эффективности.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147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pPr>
              <w:jc w:val="both"/>
              <w:spacing w:after="0" w:line="240" w:lineRule="auto"/>
              <w:rPr>
                <w:sz w:val="24"/>
                <w:szCs w:val="24"/>
              </w:rPr>
            </w:pPr>
            <w:r>
              <w:rPr>
                <w:rFonts w:ascii="Times New Roman" w:hAnsi="Times New Roman" w:cs="Times New Roman"/>
                <w:color w:val="#000000"/>
                <w:sz w:val="24"/>
                <w:szCs w:val="24"/>
              </w:rPr>
              <w:t> 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pPr>
              <w:jc w:val="both"/>
              <w:spacing w:after="0" w:line="240" w:lineRule="auto"/>
              <w:rPr>
                <w:sz w:val="24"/>
                <w:szCs w:val="24"/>
              </w:rPr>
            </w:pPr>
            <w:r>
              <w:rPr>
                <w:rFonts w:ascii="Times New Roman" w:hAnsi="Times New Roman" w:cs="Times New Roman"/>
                <w:color w:val="#000000"/>
                <w:sz w:val="24"/>
                <w:szCs w:val="24"/>
              </w:rPr>
              <w:t> 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pPr>
              <w:jc w:val="both"/>
              <w:spacing w:after="0" w:line="240" w:lineRule="auto"/>
              <w:rPr>
                <w:sz w:val="24"/>
                <w:szCs w:val="24"/>
              </w:rPr>
            </w:pPr>
            <w:r>
              <w:rPr>
                <w:rFonts w:ascii="Times New Roman" w:hAnsi="Times New Roman" w:cs="Times New Roman"/>
                <w:color w:val="#000000"/>
                <w:sz w:val="24"/>
                <w:szCs w:val="24"/>
              </w:rPr>
              <w:t> 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both"/>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both"/>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both"/>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both"/>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both"/>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both"/>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340.0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both"/>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both"/>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pPr>
              <w:jc w:val="both"/>
              <w:spacing w:after="0" w:line="240" w:lineRule="auto"/>
              <w:rPr>
                <w:sz w:val="24"/>
                <w:szCs w:val="24"/>
              </w:rPr>
            </w:pPr>
            <w:r>
              <w:rPr>
                <w:rFonts w:ascii="Times New Roman" w:hAnsi="Times New Roman" w:cs="Times New Roman"/>
                <w:color w:val="#000000"/>
                <w:sz w:val="24"/>
                <w:szCs w:val="24"/>
              </w:rPr>
              <w:t> 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pPr>
              <w:jc w:val="both"/>
              <w:spacing w:after="0" w:line="240" w:lineRule="auto"/>
              <w:rPr>
                <w:sz w:val="24"/>
                <w:szCs w:val="24"/>
              </w:rPr>
            </w:pPr>
            <w:r>
              <w:rPr>
                <w:rFonts w:ascii="Times New Roman" w:hAnsi="Times New Roman" w:cs="Times New Roman"/>
                <w:color w:val="#000000"/>
                <w:sz w:val="24"/>
                <w:szCs w:val="24"/>
              </w:rPr>
              <w:t> 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pPr>
              <w:jc w:val="both"/>
              <w:spacing w:after="0" w:line="240" w:lineRule="auto"/>
              <w:rPr>
                <w:sz w:val="24"/>
                <w:szCs w:val="24"/>
              </w:rPr>
            </w:pPr>
            <w:r>
              <w:rPr>
                <w:rFonts w:ascii="Times New Roman" w:hAnsi="Times New Roman" w:cs="Times New Roman"/>
                <w:color w:val="#000000"/>
                <w:sz w:val="24"/>
                <w:szCs w:val="24"/>
              </w:rPr>
              <w:t> 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pPr>
              <w:jc w:val="both"/>
              <w:spacing w:after="0" w:line="240" w:lineRule="auto"/>
              <w:rPr>
                <w:sz w:val="24"/>
                <w:szCs w:val="24"/>
              </w:rPr>
            </w:pPr>
            <w:r>
              <w:rPr>
                <w:rFonts w:ascii="Times New Roman" w:hAnsi="Times New Roman" w:cs="Times New Roman"/>
                <w:color w:val="#000000"/>
                <w:sz w:val="24"/>
                <w:szCs w:val="24"/>
              </w:rPr>
              <w:t> 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pPr>
              <w:jc w:val="both"/>
              <w:spacing w:after="0" w:line="240" w:lineRule="auto"/>
              <w:rPr>
                <w:sz w:val="24"/>
                <w:szCs w:val="24"/>
              </w:rPr>
            </w:pPr>
            <w:r>
              <w:rPr>
                <w:rFonts w:ascii="Times New Roman" w:hAnsi="Times New Roman" w:cs="Times New Roman"/>
                <w:color w:val="#000000"/>
                <w:sz w:val="24"/>
                <w:szCs w:val="24"/>
              </w:rPr>
              <w:t> 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pPr>
              <w:jc w:val="both"/>
              <w:spacing w:after="0" w:line="240" w:lineRule="auto"/>
              <w:rPr>
                <w:sz w:val="24"/>
                <w:szCs w:val="24"/>
              </w:rPr>
            </w:pPr>
            <w:r>
              <w:rPr>
                <w:rFonts w:ascii="Times New Roman" w:hAnsi="Times New Roman" w:cs="Times New Roman"/>
                <w:color w:val="#000000"/>
                <w:sz w:val="24"/>
                <w:szCs w:val="24"/>
              </w:rPr>
              <w:t> 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518"/>
        </w:trPr>
        <w:tc>
          <w:tcPr>
            <w:tcW w:w="9640" w:type="dxa"/>
          </w:tcPr>
          <w:p/>
        </w:tc>
      </w:tr>
      <w:tr>
        <w:trPr>
          <w:trHeight w:hRule="exact" w:val="2439.3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left"/>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left"/>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совместимая с аудиторской практикой.</w:t>
            </w:r>
          </w:p>
          <w:p>
            <w:pPr>
              <w:jc w:val="left"/>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pPr>
              <w:jc w:val="left"/>
              <w:spacing w:after="0" w:line="240" w:lineRule="auto"/>
              <w:rPr>
                <w:sz w:val="24"/>
                <w:szCs w:val="24"/>
              </w:rPr>
            </w:pPr>
            <w:r>
              <w:rPr>
                <w:rFonts w:ascii="Times New Roman" w:hAnsi="Times New Roman" w:cs="Times New Roman"/>
                <w:color w:val="#000000"/>
                <w:sz w:val="24"/>
                <w:szCs w:val="24"/>
              </w:rPr>
              <w:t> Стандарты саморегулируемых профессиональных объединений.</w:t>
            </w:r>
          </w:p>
          <w:p>
            <w:pPr>
              <w:jc w:val="left"/>
              <w:spacing w:after="0" w:line="240" w:lineRule="auto"/>
              <w:rPr>
                <w:sz w:val="24"/>
                <w:szCs w:val="24"/>
              </w:rPr>
            </w:pPr>
            <w:r>
              <w:rPr>
                <w:rFonts w:ascii="Times New Roman" w:hAnsi="Times New Roman" w:cs="Times New Roman"/>
                <w:color w:val="#000000"/>
                <w:sz w:val="24"/>
                <w:szCs w:val="24"/>
              </w:rPr>
              <w:t> 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2024-2025_ФГОС3++2024_Бак-ОЗФО-Э(ФКиА)(24)_plx_Основы аудита</dc:title>
  <dc:creator>FastReport.NET</dc:creator>
</cp:coreProperties>
</file>